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2"/>
        <w:gridCol w:w="3033"/>
        <w:gridCol w:w="4252"/>
      </w:tblGrid>
      <w:tr w:rsidR="00C66F44" w:rsidRPr="00C66F44" w:rsidTr="00C66F44">
        <w:tc>
          <w:tcPr>
            <w:tcW w:w="2462" w:type="dxa"/>
          </w:tcPr>
          <w:p w:rsidR="00C66F44" w:rsidRPr="00C66F44" w:rsidRDefault="00C66F44" w:rsidP="00BC4B51">
            <w:pPr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6F44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223079" cy="1091565"/>
                  <wp:effectExtent l="19050" t="0" r="0" b="0"/>
                  <wp:docPr id="3" name="Рисунок 0" descr="РОФ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ФБ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9" cy="1091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3" w:type="dxa"/>
          </w:tcPr>
          <w:p w:rsidR="00C66F44" w:rsidRPr="00C66F44" w:rsidRDefault="00C66F44" w:rsidP="00BC4B51">
            <w:pPr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6F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«ЗАТВЕРДЖУЮ»</w:t>
            </w:r>
          </w:p>
          <w:p w:rsidR="00C66F44" w:rsidRDefault="00C66F44" w:rsidP="00BC4B51">
            <w:pPr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Президент</w:t>
            </w:r>
          </w:p>
          <w:p w:rsidR="00C66F44" w:rsidRPr="00C66F44" w:rsidRDefault="00C66F44" w:rsidP="00BC4B51">
            <w:pPr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66F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Рівненської обласної Федерації Боулінгу</w:t>
            </w:r>
          </w:p>
          <w:p w:rsidR="00C66F44" w:rsidRPr="00C66F44" w:rsidRDefault="00C66F44" w:rsidP="00C66F44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66F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 В.Якимчук</w:t>
            </w:r>
          </w:p>
        </w:tc>
        <w:tc>
          <w:tcPr>
            <w:tcW w:w="4252" w:type="dxa"/>
          </w:tcPr>
          <w:p w:rsidR="00C66F44" w:rsidRPr="00C66F44" w:rsidRDefault="00C66F44" w:rsidP="00BC4B51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6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«ПОГОДЖЕНО»</w:t>
            </w:r>
          </w:p>
          <w:p w:rsidR="00C66F44" w:rsidRDefault="00C66F44" w:rsidP="00BC4B51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6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Начальник управління </w:t>
            </w:r>
          </w:p>
          <w:p w:rsidR="00C66F44" w:rsidRPr="00C66F44" w:rsidRDefault="00C66F44" w:rsidP="00C66F44">
            <w:pPr>
              <w:ind w:right="-108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6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 справах молоді та спорту Рівненської облдержадміністрації</w:t>
            </w:r>
          </w:p>
          <w:p w:rsidR="00C66F44" w:rsidRPr="00C66F44" w:rsidRDefault="00C66F44" w:rsidP="00BC4B51">
            <w:pPr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C66F4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_________________ В. Ліпський</w:t>
            </w:r>
          </w:p>
        </w:tc>
      </w:tr>
    </w:tbl>
    <w:p w:rsidR="00BC4B51" w:rsidRPr="00C66F44" w:rsidRDefault="00BC4B51" w:rsidP="00BC4B5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BC4B51" w:rsidRDefault="00BC4B51" w:rsidP="00BC4B5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C66F44" w:rsidRPr="00C66F44" w:rsidRDefault="00C66F44" w:rsidP="00BC4B5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E48F2" w:rsidRPr="00BC4B51" w:rsidRDefault="00C66F44" w:rsidP="00C66F4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Положення</w:t>
      </w:r>
    </w:p>
    <w:p w:rsidR="00C66F44" w:rsidRDefault="0034332B" w:rsidP="00BC4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C66F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ро проведення відкритого </w:t>
      </w:r>
      <w:r w:rsidR="006E48F2"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Чемпіонат</w:t>
      </w:r>
      <w:r w:rsidR="00C66F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Рівненської області</w:t>
      </w:r>
    </w:p>
    <w:p w:rsidR="006E48F2" w:rsidRDefault="006E48F2" w:rsidP="00BC4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зі спортивного боулінгу</w:t>
      </w:r>
      <w:r w:rsidR="00C66F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с</w:t>
      </w:r>
      <w:r w:rsidR="006338FF"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езон</w:t>
      </w:r>
      <w:r w:rsidR="00C66F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="006338FF"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201</w:t>
      </w:r>
      <w:r w:rsidR="00866DCC"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7 - 2018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</w:t>
      </w:r>
      <w:r w:rsidR="00C66F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оків</w:t>
      </w:r>
    </w:p>
    <w:p w:rsidR="00C66F44" w:rsidRDefault="00C66F44" w:rsidP="00BC4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F44" w:rsidRPr="00BC4B51" w:rsidRDefault="00C66F44" w:rsidP="00BC4B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6F44" w:rsidRPr="00BC4B51" w:rsidRDefault="00C66F44" w:rsidP="00CC03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Цілі і завдання.</w:t>
      </w:r>
    </w:p>
    <w:p w:rsidR="00C66F44" w:rsidRPr="00BC4B51" w:rsidRDefault="00C66F44" w:rsidP="00C66F44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Відкритий Чемпіонат Рівненської області зі спортивного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боулінгу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сезону 2017-2018 років (далі – Чемпіонат)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проводяться з метою:</w:t>
      </w:r>
    </w:p>
    <w:p w:rsidR="00C66F44" w:rsidRPr="00BC4B51" w:rsidRDefault="00C66F44" w:rsidP="00C6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опуляризації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с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тимулювання розвитку масовості боулінгу у Рівненській області;</w:t>
      </w:r>
    </w:p>
    <w:p w:rsidR="00C66F44" w:rsidRPr="00BC4B51" w:rsidRDefault="00C66F44" w:rsidP="00C6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алучення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дітей та молоді до занять боулінгом;</w:t>
      </w:r>
    </w:p>
    <w:p w:rsidR="00C66F44" w:rsidRPr="00BC4B51" w:rsidRDefault="00C66F44" w:rsidP="00C66F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ідвищення рівня майстерності спортсменів</w:t>
      </w:r>
      <w:r w:rsidRPr="00C66F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зростання спортивних результатів;</w:t>
      </w:r>
    </w:p>
    <w:p w:rsidR="00C66F44" w:rsidRPr="00BC4B51" w:rsidRDefault="00C66F44" w:rsidP="00C66F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изначення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найсильніших спортсменів.</w:t>
      </w:r>
    </w:p>
    <w:p w:rsidR="00C66F44" w:rsidRPr="00BC4B51" w:rsidRDefault="00C66F44" w:rsidP="00CC03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Організа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ція та керівництво проведенням з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магань.</w:t>
      </w:r>
    </w:p>
    <w:p w:rsidR="00C66F44" w:rsidRDefault="00C66F44" w:rsidP="00C66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Загальне керівництво за організацією та проведенням Чемпіонату здійснюють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Рівненська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бласна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едерація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оулінгу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(далі – Федерація) та управління у справах молоді та спорту Рівненської облдержадміністрації (далі – Управління).</w:t>
      </w:r>
    </w:p>
    <w:p w:rsidR="00C66F44" w:rsidRDefault="00C66F44" w:rsidP="00C66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Безпосереднє проведення Чемпіонату здійснює головна суддівська колегія, затверджена Федерацією.</w:t>
      </w:r>
    </w:p>
    <w:p w:rsidR="00987360" w:rsidRPr="00BC4B51" w:rsidRDefault="00987360" w:rsidP="00C66F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Головний суддя </w:t>
      </w:r>
      <w:r w:rsidR="00CC0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Якимчук Валерій Миколайович.</w:t>
      </w:r>
    </w:p>
    <w:p w:rsidR="00C66F44" w:rsidRPr="00BC4B51" w:rsidRDefault="00C66F44" w:rsidP="00CC03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 Місце і терміни проведення змагання.</w:t>
      </w:r>
    </w:p>
    <w:p w:rsidR="00C66F44" w:rsidRPr="00FE01BC" w:rsidRDefault="00C66F44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 проводиться в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Боулінг-клуб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«Хутір»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(Рівненський район, </w:t>
      </w:r>
      <w:r w:rsidR="009E5E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Велика Омеляна, вул.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Дубн</w:t>
      </w:r>
      <w:r w:rsidR="00A325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ська</w:t>
      </w:r>
      <w:proofErr w:type="spellEnd"/>
      <w:r w:rsidR="00FE0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E01BC" w:rsidRPr="009E5E02">
        <w:rPr>
          <w:rFonts w:ascii="Times New Roman" w:hAnsi="Times New Roman" w:cs="Times New Roman"/>
          <w:sz w:val="28"/>
          <w:szCs w:val="28"/>
          <w:lang w:val="uk-UA"/>
        </w:rPr>
        <w:t>11б/1</w:t>
      </w:r>
      <w:r w:rsidR="00A325A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E01BC">
        <w:rPr>
          <w:rFonts w:ascii="Times New Roman" w:hAnsi="Times New Roman" w:cs="Times New Roman"/>
          <w:sz w:val="28"/>
          <w:szCs w:val="28"/>
          <w:lang w:val="uk-UA"/>
        </w:rPr>
        <w:t xml:space="preserve"> згідно з календарем, затвердженим Федерацією.</w:t>
      </w:r>
    </w:p>
    <w:p w:rsidR="00FE01BC" w:rsidRPr="00BC4B51" w:rsidRDefault="00FE01BC" w:rsidP="00CC03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часник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и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змагань і умови їх допуску.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індивідуальним (</w:t>
      </w:r>
      <w:r w:rsidR="00343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окремо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чоловіки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жінки), рейтинговим.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участі у Чемпіонаті д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опускаються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спортсмени, які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прийма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ють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дане Положення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ч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ия спортивна форма відповідає правилам ВФСБУ.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* Єдина вимога форми Чемпіонату: футболка-поло повинна містити прізвище гравця, у жінок - спідниця, шорти або брюки, у чоловіків - штани.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Для гравців до 16 років необхідно письмовий дозвіл батьків на участь в </w:t>
      </w:r>
      <w:r w:rsidR="000E2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Чемпіонаті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страховку і медичну довідку.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Кулі гравців повинні відповідати правилам ETBF / WTBA / FIQ. Контроль куль здійснюватиметься вибірково.</w:t>
      </w:r>
    </w:p>
    <w:p w:rsidR="006E48F2" w:rsidRPr="00BC4B51" w:rsidRDefault="00FE01BC" w:rsidP="00CC03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6E48F2"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Система та у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мови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проведення змагань, 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ведення</w:t>
      </w:r>
      <w:r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підсумків</w:t>
      </w:r>
      <w:r w:rsidR="006E48F2"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</w:p>
    <w:p w:rsidR="006E48F2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Змагання проводяться за Правилами ВФСБУ (ETBF / WTBA / FIQ)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48F2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6E48F2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ього</w:t>
      </w:r>
      <w:r w:rsidR="006E48F2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Положення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регламенту, затвердженого Федерацією</w:t>
      </w:r>
      <w:r w:rsidR="006E48F2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987360" w:rsidRPr="00BC4B51" w:rsidRDefault="00987360" w:rsidP="00987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Організатори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Чемпіонату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залишають за собою право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вносити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зміни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егламенту, але обов'язково до початку змагань.</w:t>
      </w:r>
    </w:p>
    <w:p w:rsidR="006E48F2" w:rsidRPr="00BC4B51" w:rsidRDefault="006E48F2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Переможцем (Чемпіоном / - кою) Чемпіонату стає спортсмен - володар найбільшої кілько</w:t>
      </w:r>
      <w:r w:rsidR="00C11A1C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сті рейтингових очок за сумою </w:t>
      </w:r>
      <w:r w:rsidR="00F913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 кращих етапів</w:t>
      </w:r>
      <w:r w:rsidR="005E1A88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87D0D" w:rsidRPr="00BC4B51" w:rsidRDefault="006E48F2" w:rsidP="00FE01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разі якщо учасники мають рівну суму рейтингових очок за сезон, то переможцем стає той, хто має</w:t>
      </w:r>
      <w:r w:rsidR="00C11A1C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більший найвищий середній </w:t>
      </w:r>
      <w:r w:rsidR="00FE0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показник за</w:t>
      </w:r>
      <w:r w:rsidR="00C11A1C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E0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підсумками усіх </w:t>
      </w:r>
      <w:r w:rsidR="00C11A1C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етап</w:t>
      </w:r>
      <w:r w:rsidR="00FE0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 w:rsidR="00C11A1C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Чемпіонату.</w:t>
      </w:r>
    </w:p>
    <w:p w:rsidR="006E48F2" w:rsidRPr="00FE01BC" w:rsidRDefault="00FE01BC" w:rsidP="00FE01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E01B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У випадку рівності очок:</w:t>
      </w:r>
    </w:p>
    <w:p w:rsidR="006E48F2" w:rsidRPr="00BC4B51" w:rsidRDefault="006E48F2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Наступні правила застосовуються у всіх дисциплінах, крім стикових матчів (кваліфікація):</w:t>
      </w:r>
    </w:p>
    <w:p w:rsidR="006E48F2" w:rsidRPr="00BC4B51" w:rsidRDefault="006E48F2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рівності більш високу позицію займає гравець з найвищим результатом останньої гри, в разі продовження рівності більш високу позицію займає гравець з найвищим результатом </w:t>
      </w:r>
      <w:proofErr w:type="spellStart"/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передостаньої</w:t>
      </w:r>
      <w:proofErr w:type="spellEnd"/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ігри і т.д.</w:t>
      </w:r>
    </w:p>
    <w:p w:rsidR="006E48F2" w:rsidRPr="00BC4B51" w:rsidRDefault="006E48F2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стикових матчах застосовуються такі правила:</w:t>
      </w:r>
    </w:p>
    <w:p w:rsidR="006E48F2" w:rsidRPr="00BC4B51" w:rsidRDefault="006E48F2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E0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разі рівності в грі буде проводитися один прокат кулі при всіх виставлених кеглях , і прокат кулі буде повторюватися до тих пір, поки нічия не буде розбита;</w:t>
      </w:r>
    </w:p>
    <w:p w:rsidR="006E48F2" w:rsidRPr="00BC4B51" w:rsidRDefault="006E48F2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FE01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 першого прокату кулі гравці стають на ті доріжки, на яких вони закінчили гру. Гравець, що займає найвищу позицію після кваліфікації, вибирає порядок гри. Для другого прокату кулі гравці міняються доріжками, і черговість кидків буде протилежна першому і т.д.;</w:t>
      </w:r>
    </w:p>
    <w:p w:rsidR="00FE01BC" w:rsidRPr="00FE01BC" w:rsidRDefault="00FE01BC" w:rsidP="00FE01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bookmarkStart w:id="0" w:name="_GoBack"/>
      <w:bookmarkEnd w:id="0"/>
      <w:r w:rsidRPr="00FE01B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Рейтинг.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зайнятих місць у кожному етапі Чемпіонату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учасникам присвоюються рейтингові очки.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Недисципліновану поведінку спортсменів, тренерів, офіційних представників клубів / організацій, апеляція до глядачів, неетичне ставлення один до одного, суперникам і глядачам розглядаються, як грубі неспортивні вчинки, що порушують хід змагання. Порушників чекає офіційне попередження або дискваліфікація.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Спортсмен, відсторонений від гри, видаляється, як мінімум, до кінця проведення даних змагань, якщо його вчинок не спричинить за собою більш серйозного покарання .</w:t>
      </w:r>
    </w:p>
    <w:p w:rsidR="00FE01BC" w:rsidRPr="00FE01BC" w:rsidRDefault="00FE01BC" w:rsidP="00FE01B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FE01BC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Протести.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разі незгоди з рішенням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Федерації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офіційний представник клубу або гравець має право, передати через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голову Федерації </w:t>
      </w:r>
      <w:proofErr w:type="spellStart"/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Якимчука</w:t>
      </w:r>
      <w:proofErr w:type="spellEnd"/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.М.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письмову заяву (апеляцію) в апеляційну комісію ВФСБУ, із зазначенням причини звернення. Апеляція повинна бути подана не пізніше однієї години з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моменту закінчення гри, в якій мало місце зазначен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подія</w:t>
      </w:r>
      <w:r w:rsidR="00CC03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 до початку наступного етапу змагань, або до початку церемонії нагородження, в залежності від того, яка подія відбудеться раніше.</w:t>
      </w:r>
    </w:p>
    <w:p w:rsidR="00FE01BC" w:rsidRPr="00BC4B51" w:rsidRDefault="00FE01BC" w:rsidP="00FE01B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Апеляції, подані пізніше зазначеного терміну, або підписані не уповноваженою на те особами, не приймаються. Отриману апеляцію у 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Федерації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зобов'язаний передати до апеляційної комісії ВФСБУ зі своїми письмовими поясненнями не пізніше трьох днів з моменту закінчення змагання.</w:t>
      </w:r>
    </w:p>
    <w:p w:rsidR="00FE01BC" w:rsidRPr="00BC4B51" w:rsidRDefault="00FE01BC" w:rsidP="00987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Протести не приймаються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рішення 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головного судді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відповідних ігровим правилам ВФСБУ і пу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нктам, зазначеним у Положенні.</w:t>
      </w:r>
    </w:p>
    <w:p w:rsidR="006E48F2" w:rsidRPr="00BC4B51" w:rsidRDefault="00987360" w:rsidP="00CC03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6E48F2"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Нагородження.</w:t>
      </w:r>
    </w:p>
    <w:p w:rsidR="006E48F2" w:rsidRPr="00BC4B51" w:rsidRDefault="006E48F2" w:rsidP="00987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кож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ному етапі підводяться підсумки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здійснюється нагородження переможців та призерів. Переможцям та призерам вручаються медалі та дипломи.</w:t>
      </w:r>
    </w:p>
    <w:p w:rsidR="006E48F2" w:rsidRPr="00BC4B51" w:rsidRDefault="00C11A1C" w:rsidP="00987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Переможцю</w:t>
      </w:r>
      <w:r w:rsidR="006E48F2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Чемпіонату Рівненської області зі спортивного боулінгу 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присвоюється</w:t>
      </w:r>
      <w:r w:rsidR="005E1A88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спортивний розряд «К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андидат у Майстри спорту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України»</w:t>
      </w:r>
      <w:r w:rsidR="006E48F2"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переможцям і призерам вручаються дипломи та медалі.</w:t>
      </w:r>
    </w:p>
    <w:p w:rsidR="006E48F2" w:rsidRPr="00BC4B51" w:rsidRDefault="00987360" w:rsidP="00CC032B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7</w:t>
      </w:r>
      <w:r w:rsidR="006E48F2" w:rsidRPr="00BC4B5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 Фінансові умови.</w:t>
      </w:r>
    </w:p>
    <w:p w:rsidR="006E48F2" w:rsidRPr="00BC4B51" w:rsidRDefault="006E48F2" w:rsidP="00987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 витрати, пов'язані з відрядженням спортсменів та представників команд для участі у змаганнях, здійснюються за раху</w:t>
      </w:r>
      <w:r w:rsid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нок організацій, що їх відряджають</w:t>
      </w:r>
      <w:r w:rsidRPr="00BC4B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E48F2" w:rsidRPr="00987360" w:rsidRDefault="006E48F2" w:rsidP="009873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Витрати, пов'язані </w:t>
      </w:r>
      <w:r w:rsidR="00987360" w:rsidRP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організацією та проведенням Чемпіонату, </w:t>
      </w:r>
      <w:r w:rsidRPr="0098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нагородженням переможців та призерів здійснюються за рахунок вступних внесків спортсменів.</w:t>
      </w:r>
    </w:p>
    <w:p w:rsidR="00987360" w:rsidRPr="00987360" w:rsidRDefault="00987360" w:rsidP="00987360">
      <w:pPr>
        <w:pStyle w:val="aa"/>
        <w:spacing w:before="120" w:after="120"/>
        <w:rPr>
          <w:rFonts w:ascii="Times New Roman" w:hAnsi="Times New Roman"/>
          <w:b/>
          <w:sz w:val="28"/>
          <w:szCs w:val="28"/>
          <w:lang w:val="uk-UA"/>
        </w:rPr>
      </w:pPr>
      <w:r w:rsidRPr="00987360">
        <w:rPr>
          <w:rFonts w:ascii="Times New Roman" w:hAnsi="Times New Roman"/>
          <w:b/>
          <w:sz w:val="28"/>
          <w:szCs w:val="28"/>
          <w:lang w:val="uk-UA"/>
        </w:rPr>
        <w:t>8. Безпека при проведенні змагань. Підготовка спортивних споруд.</w:t>
      </w:r>
    </w:p>
    <w:p w:rsidR="00987360" w:rsidRPr="00987360" w:rsidRDefault="00987360" w:rsidP="0098736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7360">
        <w:rPr>
          <w:rFonts w:ascii="Times New Roman" w:hAnsi="Times New Roman"/>
          <w:sz w:val="28"/>
          <w:szCs w:val="28"/>
          <w:lang w:val="uk-UA"/>
        </w:rPr>
        <w:t xml:space="preserve">У відповідності до Постанови Кабінету Міністрів України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987360">
        <w:rPr>
          <w:rFonts w:ascii="Times New Roman" w:hAnsi="Times New Roman"/>
          <w:sz w:val="28"/>
          <w:szCs w:val="28"/>
          <w:lang w:val="uk-UA"/>
        </w:rPr>
        <w:t>від 18 грудня 1998 року № 2025 «Про порядок підготовки спортивних споруд та інших спеціально відведених місць для проведення масових спортивних та культурно-видовищних заходів»:</w:t>
      </w:r>
    </w:p>
    <w:p w:rsidR="00987360" w:rsidRPr="00987360" w:rsidRDefault="00987360" w:rsidP="0098736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7360">
        <w:rPr>
          <w:rFonts w:ascii="Times New Roman" w:hAnsi="Times New Roman"/>
          <w:sz w:val="28"/>
          <w:szCs w:val="28"/>
          <w:lang w:val="uk-UA"/>
        </w:rPr>
        <w:t>- підготовка споруд покладається на їх власників;</w:t>
      </w:r>
    </w:p>
    <w:p w:rsidR="00987360" w:rsidRPr="00987360" w:rsidRDefault="00987360" w:rsidP="0098736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7360">
        <w:rPr>
          <w:rFonts w:ascii="Times New Roman" w:hAnsi="Times New Roman"/>
          <w:sz w:val="28"/>
          <w:szCs w:val="28"/>
          <w:lang w:val="uk-UA"/>
        </w:rPr>
        <w:t>- контроль за підготовкою спортивних споруд та забезпечення безпеки при проведенні змагань здійснює головна суддівська колегія.</w:t>
      </w:r>
    </w:p>
    <w:p w:rsidR="00987360" w:rsidRPr="00987360" w:rsidRDefault="00987360" w:rsidP="00987360">
      <w:pPr>
        <w:pStyle w:val="aa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87360">
        <w:rPr>
          <w:rFonts w:ascii="Times New Roman" w:hAnsi="Times New Roman"/>
          <w:sz w:val="28"/>
          <w:szCs w:val="28"/>
          <w:lang w:val="uk-UA"/>
        </w:rPr>
        <w:t>Власник спортивної споруди не менш, ніж за чотири години до початку змагань, зобов’язаний подати до головної суддівської колегії акт про її готовність до проведення змагань.</w:t>
      </w:r>
    </w:p>
    <w:p w:rsidR="00987360" w:rsidRPr="00987360" w:rsidRDefault="00987360" w:rsidP="00987360">
      <w:pPr>
        <w:pStyle w:val="aa"/>
        <w:ind w:firstLine="708"/>
        <w:jc w:val="both"/>
        <w:rPr>
          <w:rStyle w:val="apple-converted-space"/>
          <w:sz w:val="28"/>
          <w:szCs w:val="28"/>
          <w:lang w:val="uk-UA"/>
        </w:rPr>
      </w:pPr>
      <w:r w:rsidRPr="00987360">
        <w:rPr>
          <w:rFonts w:ascii="Times New Roman" w:hAnsi="Times New Roman"/>
          <w:sz w:val="28"/>
          <w:szCs w:val="28"/>
          <w:lang w:val="uk-UA"/>
        </w:rPr>
        <w:t>Невиконання вимог, передбачених цим пунктом, що стали причиною виникнення надзвичайних обставин під час проведення змагань, тягне за собою відповідальність, передбачену чинним законодавством України.</w:t>
      </w:r>
    </w:p>
    <w:p w:rsidR="00030552" w:rsidRDefault="00030552" w:rsidP="00BC4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032B" w:rsidRDefault="00CC032B" w:rsidP="00BC4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C032B" w:rsidRPr="00CC032B" w:rsidRDefault="00CC032B" w:rsidP="00CC03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32B">
        <w:rPr>
          <w:rFonts w:ascii="Times New Roman" w:hAnsi="Times New Roman" w:cs="Times New Roman"/>
          <w:b/>
          <w:sz w:val="28"/>
          <w:szCs w:val="28"/>
          <w:lang w:val="uk-UA"/>
        </w:rPr>
        <w:t>Дане положення є офіційним викликом для участі у змаганнях.</w:t>
      </w:r>
    </w:p>
    <w:sectPr w:rsidR="00CC032B" w:rsidRPr="00CC032B" w:rsidSect="0003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76E"/>
    <w:multiLevelType w:val="hybridMultilevel"/>
    <w:tmpl w:val="CAA49FA4"/>
    <w:lvl w:ilvl="0" w:tplc="1D2A2EB2">
      <w:numFmt w:val="bullet"/>
      <w:lvlText w:val=""/>
      <w:lvlJc w:val="left"/>
      <w:pPr>
        <w:ind w:left="720" w:hanging="360"/>
      </w:pPr>
      <w:rPr>
        <w:rFonts w:ascii="Verdana" w:eastAsia="Times New Roman" w:hAnsi="Verdan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8F2"/>
    <w:rsid w:val="00030552"/>
    <w:rsid w:val="000E2154"/>
    <w:rsid w:val="0033745A"/>
    <w:rsid w:val="0034332B"/>
    <w:rsid w:val="0051397F"/>
    <w:rsid w:val="005E1A88"/>
    <w:rsid w:val="006338FF"/>
    <w:rsid w:val="006E48F2"/>
    <w:rsid w:val="00727F0F"/>
    <w:rsid w:val="00866DCC"/>
    <w:rsid w:val="0095219C"/>
    <w:rsid w:val="00987360"/>
    <w:rsid w:val="009E5E02"/>
    <w:rsid w:val="00A325AC"/>
    <w:rsid w:val="00A56BF1"/>
    <w:rsid w:val="00A87D0D"/>
    <w:rsid w:val="00B3745D"/>
    <w:rsid w:val="00B843C6"/>
    <w:rsid w:val="00BC4B51"/>
    <w:rsid w:val="00BF18E6"/>
    <w:rsid w:val="00C11A1C"/>
    <w:rsid w:val="00C66F44"/>
    <w:rsid w:val="00CC032B"/>
    <w:rsid w:val="00F1360F"/>
    <w:rsid w:val="00F91368"/>
    <w:rsid w:val="00FE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52"/>
  </w:style>
  <w:style w:type="paragraph" w:styleId="3">
    <w:name w:val="heading 3"/>
    <w:basedOn w:val="a"/>
    <w:link w:val="30"/>
    <w:uiPriority w:val="9"/>
    <w:qFormat/>
    <w:rsid w:val="006E48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48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E4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48F2"/>
    <w:rPr>
      <w:b/>
      <w:bCs/>
    </w:rPr>
  </w:style>
  <w:style w:type="character" w:styleId="a5">
    <w:name w:val="Hyperlink"/>
    <w:basedOn w:val="a0"/>
    <w:uiPriority w:val="99"/>
    <w:semiHidden/>
    <w:unhideWhenUsed/>
    <w:rsid w:val="006E48F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87D0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6DC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C4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87360"/>
  </w:style>
  <w:style w:type="paragraph" w:styleId="aa">
    <w:name w:val="No Spacing"/>
    <w:basedOn w:val="a"/>
    <w:uiPriority w:val="1"/>
    <w:qFormat/>
    <w:rsid w:val="00987360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4064</Words>
  <Characters>2318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Jkim</cp:lastModifiedBy>
  <cp:revision>19</cp:revision>
  <cp:lastPrinted>2017-09-13T13:18:00Z</cp:lastPrinted>
  <dcterms:created xsi:type="dcterms:W3CDTF">2015-08-06T15:53:00Z</dcterms:created>
  <dcterms:modified xsi:type="dcterms:W3CDTF">2018-03-21T13:29:00Z</dcterms:modified>
</cp:coreProperties>
</file>